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right="142" w:hanging="0"/>
        <w:jc w:val="center"/>
        <w:rPr/>
      </w:pPr>
      <w:r>
        <w:rPr>
          <w:rFonts w:eastAsia="Calibri" w:ascii="Liberation Serif" w:hAnsi="Liberation Serif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Liberation Serif" w:hAnsi="Liberation Serif"/>
          <w:sz w:val="26"/>
          <w:szCs w:val="26"/>
        </w:rPr>
        <w:t xml:space="preserve"> / </w:t>
      </w:r>
      <w:r>
        <w:rPr>
          <w:rFonts w:eastAsia="Calibri" w:ascii="Liberation Serif" w:hAnsi="Liberation Serif"/>
          <w:b/>
          <w:caps/>
          <w:szCs w:val="24"/>
        </w:rPr>
        <w:t>цены единицы товара</w:t>
      </w:r>
    </w:p>
    <w:p>
      <w:pPr>
        <w:pStyle w:val="Normal"/>
        <w:spacing w:lineRule="exact" w:line="360" w:before="120" w:after="0"/>
        <w:jc w:val="both"/>
        <w:rPr>
          <w:rFonts w:ascii="Liberation Serif" w:hAnsi="Liberation Serif" w:eastAsia="Calibri"/>
          <w:i/>
          <w:i/>
          <w:sz w:val="26"/>
          <w:szCs w:val="26"/>
          <w:shd w:fill="FFFF00" w:val="clear"/>
        </w:rPr>
      </w:pPr>
      <w:r>
        <w:rPr>
          <w:rFonts w:eastAsia="Calibri" w:ascii="Liberation Serif" w:hAnsi="Liberation Serif"/>
          <w:i/>
          <w:sz w:val="26"/>
          <w:szCs w:val="26"/>
          <w:shd w:fill="FFFF00" w:val="clear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Liberation Serif" w:hAnsi="Liberation Serif" w:eastAsia="Calibri"/>
          <w:b/>
          <w:sz w:val="26"/>
          <w:szCs w:val="26"/>
        </w:rPr>
      </w:pPr>
      <w:r>
        <w:rPr>
          <w:rFonts w:eastAsia="Calibri" w:ascii="Liberation Serif" w:hAnsi="Liberation Serif"/>
          <w:b/>
          <w:sz w:val="26"/>
          <w:szCs w:val="26"/>
        </w:rPr>
        <w:t>Общая информация</w:t>
      </w:r>
    </w:p>
    <w:tbl>
      <w:tblPr>
        <w:tblW w:w="14625" w:type="dxa"/>
        <w:jc w:val="left"/>
        <w:tblInd w:w="-172" w:type="dxa"/>
        <w:tblLayout w:type="fixed"/>
        <w:tblCellMar>
          <w:top w:w="0" w:type="dxa"/>
          <w:left w:w="8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9"/>
        <w:gridCol w:w="3684"/>
        <w:gridCol w:w="10232"/>
      </w:tblGrid>
      <w:tr>
        <w:trPr/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contextualSpacing/>
              <w:jc w:val="both"/>
              <w:rPr>
                <w:rFonts w:ascii="Liberation Serif" w:hAnsi="Liberation Serif" w:eastAsia="Calibri"/>
                <w:b/>
                <w:bCs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 xml:space="preserve">№ </w:t>
            </w: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Liberation Serif" w:hAnsi="Liberation Serif" w:eastAsia="Calibri"/>
                <w:b/>
                <w:bCs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0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Liberation Serif" w:hAnsi="Liberation Serif" w:eastAsia="Calibri"/>
                <w:b/>
                <w:bCs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Liberation Serif" w:hAnsi="Liberation Serif" w:eastAsia="Calibri"/>
                <w:sz w:val="22"/>
                <w:szCs w:val="26"/>
              </w:rPr>
            </w:pPr>
            <w:r>
              <w:rPr>
                <w:rFonts w:eastAsia="Calibri" w:ascii="Liberation Serif" w:hAnsi="Liberation Serif"/>
                <w:sz w:val="22"/>
                <w:szCs w:val="26"/>
              </w:rPr>
            </w:r>
          </w:p>
        </w:tc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Liberation Serif" w:hAnsi="Liberation Serif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2"/>
                <w:szCs w:val="22"/>
              </w:rPr>
              <w:t>Наименование лота</w:t>
            </w:r>
          </w:p>
        </w:tc>
        <w:tc>
          <w:tcPr>
            <w:tcW w:w="10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rPr>
                <w:rFonts w:ascii="Liberation Serif" w:hAnsi="Liberation Serif" w:eastAsia="Times New Roman"/>
                <w:i/>
                <w:i/>
                <w:color w:val="000000"/>
                <w:szCs w:val="24"/>
                <w:highlight w:val="white"/>
              </w:rPr>
            </w:pPr>
            <w:r>
              <w:rPr>
                <w:rFonts w:eastAsia="Times New Roman" w:ascii="Liberation Serif" w:hAnsi="Liberation Serif"/>
                <w:i/>
                <w:color w:val="000000"/>
                <w:kern w:val="0"/>
                <w:sz w:val="22"/>
                <w:szCs w:val="22"/>
                <w:highlight w:val="white"/>
                <w:lang w:val="ru-RU" w:eastAsia="en-US" w:bidi="ar-SA"/>
              </w:rPr>
              <w:t>ОКПД2 43.99.40 Текущий ремонт спиральной камеры и технических помещений гидроагрегата ст.№1 Новосибирской ГЭС с ремонтом спусков в помещения осушающих устройств</w:t>
            </w:r>
          </w:p>
        </w:tc>
      </w:tr>
      <w:tr>
        <w:trPr>
          <w:trHeight w:val="297" w:hRule="atLeast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120" w:after="120"/>
              <w:ind w:left="0" w:hanging="0"/>
              <w:contextualSpacing/>
              <w:jc w:val="both"/>
              <w:rPr>
                <w:rFonts w:ascii="Liberation Serif" w:hAnsi="Liberation Serif" w:eastAsia="Calibri"/>
                <w:sz w:val="22"/>
                <w:szCs w:val="26"/>
              </w:rPr>
            </w:pPr>
            <w:r>
              <w:rPr>
                <w:rFonts w:eastAsia="Calibri" w:ascii="Liberation Serif" w:hAnsi="Liberation Serif"/>
                <w:sz w:val="22"/>
                <w:szCs w:val="26"/>
              </w:rPr>
            </w:r>
          </w:p>
        </w:tc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contextualSpacing/>
              <w:jc w:val="both"/>
              <w:rPr>
                <w:rFonts w:ascii="Liberation Serif" w:hAnsi="Liberation Serif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2"/>
                <w:szCs w:val="22"/>
              </w:rPr>
              <w:t>Номер лота</w:t>
            </w:r>
          </w:p>
        </w:tc>
        <w:tc>
          <w:tcPr>
            <w:tcW w:w="10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120" w:after="0"/>
              <w:contextualSpacing/>
              <w:jc w:val="both"/>
              <w:rPr>
                <w:rFonts w:ascii="Liberation Serif" w:hAnsi="Liberation Serif" w:eastAsia="Calibri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4-</w:t>
            </w:r>
            <w:r>
              <w:rPr>
                <w:rFonts w:ascii="Times New Roman" w:hAnsi="Times New Roman"/>
              </w:rPr>
              <w:t>РЕМ</w:t>
            </w:r>
            <w:r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-НовГЭС</w:t>
            </w:r>
          </w:p>
        </w:tc>
      </w:tr>
      <w:tr>
        <w:trPr/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before="120" w:after="120"/>
              <w:ind w:left="0" w:hanging="0"/>
              <w:contextualSpacing/>
              <w:jc w:val="both"/>
              <w:rPr>
                <w:rFonts w:ascii="Liberation Serif" w:hAnsi="Liberation Serif" w:eastAsia="Calibri"/>
                <w:sz w:val="22"/>
                <w:szCs w:val="26"/>
              </w:rPr>
            </w:pPr>
            <w:r>
              <w:rPr>
                <w:rFonts w:eastAsia="Calibri" w:ascii="Liberation Serif" w:hAnsi="Liberation Serif"/>
                <w:sz w:val="22"/>
                <w:szCs w:val="26"/>
              </w:rPr>
            </w:r>
          </w:p>
        </w:tc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contextualSpacing/>
              <w:jc w:val="both"/>
              <w:rPr>
                <w:rFonts w:ascii="Liberation Serif" w:hAnsi="Liberation Serif" w:eastAsia="Calibri"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sz w:val="22"/>
                <w:szCs w:val="22"/>
              </w:rPr>
              <w:t>НМЦ лота</w:t>
            </w:r>
          </w:p>
        </w:tc>
        <w:tc>
          <w:tcPr>
            <w:tcW w:w="10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120" w:after="0"/>
              <w:contextualSpacing/>
              <w:jc w:val="both"/>
              <w:rPr/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2 </w:t>
            </w:r>
            <w:r>
              <w:rPr>
                <w:rFonts w:ascii="Times New Roman" w:hAnsi="Times New Roman"/>
              </w:rPr>
              <w:t>422 329,53</w:t>
            </w:r>
            <w:r>
              <w:rPr>
                <w:rFonts w:ascii="Times New Roman" w:hAnsi="Times New Roman"/>
              </w:rPr>
              <w:t xml:space="preserve">  руб. </w:t>
            </w:r>
            <w:r>
              <w:rPr>
                <w:rFonts w:ascii="Times New Roman" w:hAnsi="Times New Roman"/>
                <w:lang w:val="en-US"/>
              </w:rPr>
              <w:t>(без НДС)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Liberation Serif" w:hAnsi="Liberation Serif" w:eastAsia="Calibri"/>
          <w:b/>
          <w:sz w:val="26"/>
          <w:szCs w:val="26"/>
        </w:rPr>
      </w:pPr>
      <w:r>
        <w:rPr>
          <w:rFonts w:eastAsia="Calibri" w:ascii="Liberation Serif" w:hAnsi="Liberation Serif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Liberation Serif" w:hAnsi="Liberation Serif" w:eastAsia="Calibri"/>
          <w:sz w:val="26"/>
          <w:szCs w:val="26"/>
        </w:rPr>
      </w:pPr>
      <w:r>
        <w:rPr>
          <w:rFonts w:eastAsia="Calibri" w:ascii="Liberation Serif" w:hAnsi="Liberation Serif"/>
          <w:sz w:val="26"/>
          <w:szCs w:val="26"/>
        </w:rPr>
        <w:t>Метод анализа технико-коммерческих предложений</w:t>
      </w:r>
    </w:p>
    <w:p>
      <w:pPr>
        <w:pStyle w:val="ListParagraph"/>
        <w:keepNext w:val="true"/>
        <w:spacing w:before="0" w:after="120"/>
        <w:contextualSpacing/>
        <w:jc w:val="both"/>
        <w:rPr>
          <w:rFonts w:ascii="Liberation Serif" w:hAnsi="Liberation Serif" w:eastAsia="Calibri"/>
          <w:sz w:val="26"/>
          <w:szCs w:val="26"/>
        </w:rPr>
      </w:pPr>
      <w:r>
        <w:rPr>
          <w:rFonts w:eastAsia="Calibri" w:ascii="Liberation Serif" w:hAnsi="Liberation Serif"/>
          <w:sz w:val="26"/>
          <w:szCs w:val="26"/>
        </w:rPr>
        <w:t>Обоснование расчета НМЦ:</w:t>
      </w:r>
    </w:p>
    <w:tbl>
      <w:tblPr>
        <w:tblW w:w="14601" w:type="dxa"/>
        <w:jc w:val="left"/>
        <w:tblInd w:w="-143" w:type="dxa"/>
        <w:tblLayout w:type="fixed"/>
        <w:tblCellMar>
          <w:top w:w="0" w:type="dxa"/>
          <w:left w:w="8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47"/>
        <w:gridCol w:w="2558"/>
        <w:gridCol w:w="3348"/>
        <w:gridCol w:w="2434"/>
        <w:gridCol w:w="2014"/>
      </w:tblGrid>
      <w:tr>
        <w:trPr>
          <w:trHeight w:val="70" w:hRule="atLeast"/>
        </w:trPr>
        <w:tc>
          <w:tcPr>
            <w:tcW w:w="4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7E6E6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Liberation Serif" w:hAnsi="Liberation Serif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7E6E6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Liberation Serif" w:hAnsi="Liberation Serif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3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7E6E6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ascii="Liberation Serif" w:hAnsi="Liberation Serif"/>
                <w:b/>
                <w:bCs/>
                <w:color w:val="000000"/>
                <w:sz w:val="20"/>
                <w:lang w:eastAsia="ru-RU"/>
              </w:rPr>
              <w:t>Цена</w:t>
            </w:r>
            <w:r>
              <w:rPr>
                <w:rFonts w:eastAsia="Times New Roman" w:ascii="Liberation Serif" w:hAnsi="Liberation Serif"/>
                <w:b/>
                <w:bCs/>
                <w:color w:val="000000"/>
                <w:sz w:val="20"/>
                <w:vertAlign w:val="superscript"/>
                <w:lang w:eastAsia="ru-RU"/>
              </w:rPr>
              <w:t>1</w:t>
            </w:r>
            <w:r>
              <w:rPr>
                <w:rFonts w:eastAsia="Times New Roman" w:ascii="Liberation Serif" w:hAnsi="Liberation Serif"/>
                <w:b/>
                <w:bCs/>
                <w:color w:val="000000"/>
                <w:sz w:val="20"/>
                <w:lang w:eastAsia="ru-RU"/>
              </w:rPr>
              <w:t xml:space="preserve"> с учетом полученной информации из соответствующего ИЦИ, в руб. без НДС </w:t>
            </w:r>
          </w:p>
        </w:tc>
        <w:tc>
          <w:tcPr>
            <w:tcW w:w="2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7E6E6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Liberation Serif" w:hAnsi="Liberation Serif"/>
                <w:b/>
                <w:bCs/>
                <w:color w:val="000000"/>
                <w:sz w:val="20"/>
                <w:lang w:eastAsia="ru-RU"/>
              </w:rPr>
              <w:t>Цена итоговая, в руб. без НДС (по наименьшему ТКП)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E7E6E6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Liberation Serif" w:hAnsi="Liberation Serif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1030" w:hRule="atLeast"/>
        </w:trPr>
        <w:tc>
          <w:tcPr>
            <w:tcW w:w="4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contextualSpacing/>
              <w:rPr>
                <w:rFonts w:ascii="Liberation Serif" w:hAnsi="Liberation Serif" w:eastAsia="Times New Roman"/>
                <w:color w:val="000000"/>
                <w:highlight w:val="white"/>
                <w:lang w:eastAsia="ru-RU"/>
              </w:rPr>
            </w:pPr>
            <w:r>
              <w:rPr>
                <w:rFonts w:ascii="Times New Roman" w:hAnsi="Times New Roman"/>
                <w:i/>
              </w:rPr>
              <w:t>ОКПД2 43.99.40 Текущий ремонт спиральной камеры и технических помещений гидроагрегата ст.№1 Новосибирской ГЭС с ремонтом спусков в помещения осушающих устройств</w:t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Liberation Serif" w:hAnsi="Liberation Serif" w:eastAsia="Times New Roman"/>
                <w:sz w:val="20"/>
                <w:lang w:eastAsia="ru-RU"/>
              </w:rPr>
            </w:pPr>
            <w:r>
              <w:rPr>
                <w:rFonts w:eastAsia="Times New Roman" w:ascii="Liberation Serif" w:hAnsi="Liberation Serif"/>
                <w:sz w:val="20"/>
                <w:lang w:eastAsia="ru-RU"/>
              </w:rPr>
              <w:t>ТКП №1</w:t>
            </w:r>
          </w:p>
        </w:tc>
        <w:tc>
          <w:tcPr>
            <w:tcW w:w="3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Times New Roman"/>
                <w:color w:val="00000A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0"/>
                <w:szCs w:val="20"/>
                <w:lang w:val="ru-RU" w:eastAsia="ru-RU" w:bidi="ar-SA"/>
              </w:rPr>
              <w:t>12 727 000 руб. без НДС.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Times New Roman"/>
                <w:color w:val="00000A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4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12 408 666,66</w:t>
            </w:r>
          </w:p>
        </w:tc>
        <w:tc>
          <w:tcPr>
            <w:tcW w:w="20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highlight w:val="none"/>
                <w:shd w:fill="auto" w:val="clear"/>
              </w:rPr>
            </w:pPr>
            <w:r>
              <w:rPr>
                <w:rFonts w:eastAsia="Times New Roman" w:ascii="Liberation Serif" w:hAnsi="Liberation Serif"/>
                <w:bCs/>
                <w:color w:val="000000"/>
                <w:sz w:val="20"/>
                <w:shd w:fill="auto" w:val="clear"/>
                <w:lang w:eastAsia="ru-RU"/>
              </w:rPr>
              <w:t>Учитывая незначительное допустимое отклонение расчетной цены по сравнению с плановой стоимостью в ГКПЗ (менее 5%) , принята плановая цена 12 422 329,53 руб. без НДС</w:t>
            </w:r>
          </w:p>
        </w:tc>
      </w:tr>
      <w:tr>
        <w:trPr>
          <w:trHeight w:val="966" w:hRule="atLeast"/>
        </w:trPr>
        <w:tc>
          <w:tcPr>
            <w:tcW w:w="424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Liberation Serif" w:hAnsi="Liberation Serif" w:eastAsia="Times New Roman"/>
                <w:sz w:val="20"/>
                <w:lang w:eastAsia="ru-RU"/>
              </w:rPr>
            </w:pPr>
            <w:r>
              <w:rPr>
                <w:rFonts w:eastAsia="Times New Roman" w:ascii="Liberation Serif" w:hAnsi="Liberation Serif"/>
                <w:sz w:val="20"/>
                <w:lang w:eastAsia="ru-RU"/>
              </w:rPr>
              <w:t>ТКП №2</w:t>
            </w:r>
          </w:p>
        </w:tc>
        <w:tc>
          <w:tcPr>
            <w:tcW w:w="3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Times New Roman"/>
                <w:color w:val="00000A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0"/>
                <w:szCs w:val="20"/>
                <w:lang w:val="ru-RU" w:eastAsia="ru-RU" w:bidi="ar-SA"/>
              </w:rPr>
              <w:t>11 249 000 руб. без НДС.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Times New Roman"/>
                <w:color w:val="00000A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4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0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Liberation Serif" w:hAnsi="Liberation Serif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Liberation Serif" w:hAnsi="Liberation Serif"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477" w:hRule="atLeast"/>
        </w:trPr>
        <w:tc>
          <w:tcPr>
            <w:tcW w:w="424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Liberation Serif" w:hAnsi="Liberation Serif" w:eastAsia="Times New Roman"/>
                <w:sz w:val="20"/>
                <w:lang w:eastAsia="ru-RU"/>
              </w:rPr>
            </w:pPr>
            <w:r>
              <w:rPr>
                <w:rFonts w:eastAsia="Times New Roman" w:ascii="Liberation Serif" w:hAnsi="Liberation Serif"/>
                <w:sz w:val="20"/>
                <w:lang w:eastAsia="ru-RU"/>
              </w:rPr>
              <w:t>ТКП №3</w:t>
            </w:r>
            <w:bookmarkStart w:id="0" w:name="_GoBack"/>
            <w:bookmarkEnd w:id="0"/>
          </w:p>
        </w:tc>
        <w:tc>
          <w:tcPr>
            <w:tcW w:w="3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Times New Roman" w:cs="Times New Roman"/>
                <w:color w:val="00000A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A"/>
                <w:kern w:val="0"/>
                <w:sz w:val="20"/>
                <w:szCs w:val="20"/>
                <w:lang w:val="ru-RU" w:eastAsia="ru-RU" w:bidi="ar-SA"/>
              </w:rPr>
              <w:t>13 250 000 руб. без НДС.</w:t>
            </w:r>
          </w:p>
        </w:tc>
        <w:tc>
          <w:tcPr>
            <w:tcW w:w="24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Liberation Serif" w:hAnsi="Liberation Serif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Liberation Serif" w:hAnsi="Liberation Serif"/>
                <w:sz w:val="20"/>
                <w:shd w:fill="FFFF99" w:val="clear"/>
                <w:lang w:eastAsia="ru-RU"/>
              </w:rPr>
            </w:r>
          </w:p>
        </w:tc>
      </w:tr>
    </w:tbl>
    <w:p>
      <w:pPr>
        <w:pStyle w:val="ListParagraph"/>
        <w:keepNext w:val="true"/>
        <w:spacing w:before="0" w:after="12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Footnotetext1"/>
        <w:spacing w:before="0" w:after="120"/>
        <w:contextualSpacing/>
        <w:jc w:val="both"/>
        <w:rPr/>
      </w:pPr>
      <w:r>
        <w:rPr>
          <w:rStyle w:val="Footnotereference1"/>
          <w:rFonts w:ascii="Liberation Serif" w:hAnsi="Liberation Serif"/>
          <w:position w:val="0"/>
          <w:sz w:val="20"/>
          <w:sz w:val="20"/>
          <w:vertAlign w:val="baseline"/>
        </w:rPr>
        <w:t>1</w:t>
      </w:r>
      <w:r>
        <w:rPr>
          <w:rFonts w:ascii="Liberation Serif" w:hAnsi="Liberation Serif"/>
        </w:rPr>
        <w:t xml:space="preserve"> С учетом количества поставляемой продукции в соответствии с Техническими требованиями</w:t>
      </w:r>
    </w:p>
    <w:sectPr>
      <w:headerReference w:type="default" r:id="rId2"/>
      <w:headerReference w:type="first" r:id="rId3"/>
      <w:type w:val="nextPage"/>
      <w:pgSz w:orient="landscape" w:w="16838" w:h="11906"/>
      <w:pgMar w:left="1134" w:right="1103" w:gutter="0" w:header="964" w:top="1134" w:footer="0" w:bottom="709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Liberation Serif" w:hAnsi="Liberation Serif"/>
      </w:rPr>
    </w:pPr>
    <w:r>
      <w:rPr>
        <w:rFonts w:ascii="Liberation Serif" w:hAnsi="Liberation Serif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286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XKGMgt52W/7E5zMjYMF7mg==" w:hash="S1iwTJ0h4+LeHAhPnE6ortzxRhDRkoc4SejPtYHrvkqatNmdgPcBZhdeTU4btIPue5EOKgg/t6SmSfFjFU+/fw==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00000A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qFormat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Pr/>
  </w:style>
  <w:style w:type="character" w:styleId="Style10" w:customStyle="1">
    <w:name w:val="Текст выноски Знак"/>
    <w:qFormat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 w:customStyle="1">
    <w:name w:val="Hyperlink"/>
    <w:basedOn w:val="DefaultParagraphFont"/>
    <w:rPr>
      <w:color w:val="0000FF"/>
      <w:u w:val="single"/>
    </w:rPr>
  </w:style>
  <w:style w:type="character" w:styleId="Style11" w:customStyle="1">
    <w:name w:val="Нижний колонтитул Знак"/>
    <w:basedOn w:val="DefaultParagraphFont"/>
    <w:qFormat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qFormat/>
    <w:rPr>
      <w:rFonts w:ascii="Geneva CY" w:hAnsi="Geneva CY" w:eastAsia="Geneva"/>
      <w:lang w:val="ru-RU" w:eastAsia="en-US"/>
    </w:rPr>
  </w:style>
  <w:style w:type="character" w:styleId="Footnotereference1" w:customStyle="1">
    <w:name w:val="footnote reference1"/>
    <w:basedOn w:val="DefaultParagraphFont"/>
    <w:qFormat/>
    <w:rPr>
      <w:vertAlign w:val="superscript"/>
    </w:rPr>
  </w:style>
  <w:style w:type="character" w:styleId="Style13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01aea"/>
    <w:rPr>
      <w:sz w:val="16"/>
      <w:szCs w:val="16"/>
    </w:rPr>
  </w:style>
  <w:style w:type="character" w:styleId="Style14" w:customStyle="1">
    <w:name w:val="Текст примечания Знак"/>
    <w:basedOn w:val="DefaultParagraphFont"/>
    <w:uiPriority w:val="99"/>
    <w:semiHidden/>
    <w:qFormat/>
    <w:rsid w:val="00601aea"/>
    <w:rPr>
      <w:rFonts w:ascii="Geneva CY" w:hAnsi="Geneva CY" w:eastAsia="Geneva"/>
      <w:sz w:val="20"/>
      <w:lang w:val="ru-RU" w:eastAsia="en-US"/>
    </w:rPr>
  </w:style>
  <w:style w:type="character" w:styleId="Style15" w:customStyle="1">
    <w:name w:val="Тема примечания Знак"/>
    <w:basedOn w:val="Style14"/>
    <w:uiPriority w:val="99"/>
    <w:semiHidden/>
    <w:qFormat/>
    <w:rsid w:val="00601aea"/>
    <w:rPr>
      <w:rFonts w:ascii="Geneva CY" w:hAnsi="Geneva CY" w:eastAsia="Geneva"/>
      <w:b/>
      <w:bCs/>
      <w:sz w:val="20"/>
      <w:lang w:val="ru-RU" w:eastAsia="en-US"/>
    </w:rPr>
  </w:style>
  <w:style w:type="character" w:styleId="LineNumber">
    <w:name w:val="Line Number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286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qFormat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pPr>
      <w:tabs>
        <w:tab w:val="clear" w:pos="286"/>
        <w:tab w:val="center" w:pos="4677" w:leader="none"/>
        <w:tab w:val="right" w:pos="9355" w:leader="none"/>
      </w:tabs>
    </w:pPr>
    <w:rPr/>
  </w:style>
  <w:style w:type="paragraph" w:styleId="Footnotetext1" w:customStyle="1">
    <w:name w:val="footnote text1"/>
    <w:basedOn w:val="Normal"/>
    <w:qFormat/>
    <w:pPr/>
    <w:rPr>
      <w:sz w:val="20"/>
    </w:r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eastAsia="Times New Roman"/>
      <w:szCs w:val="24"/>
      <w:lang w:eastAsia="ru-RU"/>
    </w:rPr>
  </w:style>
  <w:style w:type="paragraph" w:styleId="FootnoteText">
    <w:name w:val="Footnote Text"/>
    <w:basedOn w:val="Normal"/>
    <w:qFormat/>
    <w:pPr/>
    <w:rPr/>
  </w:style>
  <w:style w:type="paragraph" w:styleId="Style19" w:customStyle="1">
    <w:name w:val="Содержимое таблицы"/>
    <w:basedOn w:val="Normal"/>
    <w:qFormat/>
    <w:pPr/>
    <w:rPr/>
  </w:style>
  <w:style w:type="paragraph" w:styleId="Annotationtext">
    <w:name w:val="annotation text"/>
    <w:basedOn w:val="Normal"/>
    <w:uiPriority w:val="99"/>
    <w:semiHidden/>
    <w:unhideWhenUsed/>
    <w:qFormat/>
    <w:rsid w:val="00601aea"/>
    <w:pPr/>
    <w:rPr>
      <w:sz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rsid w:val="00601aea"/>
    <w:pPr/>
    <w:rPr>
      <w:b/>
      <w:bCs/>
    </w:rPr>
  </w:style>
  <w:style w:type="paragraph" w:styleId="Style20" w:customStyle="1">
    <w:name w:val="Заголовок таблицы"/>
    <w:basedOn w:val="Style19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Style21" w:customStyle="1">
    <w:name w:val="Без списка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AlterOffice/3.4.0.9$Linux_X86_64 LibreOffice_project/b8daf9e823b1a5463a2f48435ddc2e8696e7d4fc</Application>
  <AppVersion>15.0000</AppVersion>
  <Pages>1</Pages>
  <Words>191</Words>
  <Characters>1122</Characters>
  <CharactersWithSpaces>1280</CharactersWithSpaces>
  <Paragraphs>33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2025-02-27T01:15:00Z</dcterms:created>
  <dc:creator>Andrey Zhurin</dc:creator>
  <dc:description/>
  <dc:language>ru-RU</dc:language>
  <cp:lastModifiedBy>murinatv@corp.gidroogk.com</cp:lastModifiedBy>
  <cp:lastPrinted>2023-11-09T15:37:00Z</cp:lastPrinted>
  <dcterms:modified xsi:type="dcterms:W3CDTF">2026-05-29T10:00:41Z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  <property fmtid="{D5CDD505-2E9C-101B-9397-08002B2CF9AE}" pid="6" name="_AdHocReviewCycleID">
    <vt:r8>222126800</vt:r8>
  </property>
  <property fmtid="{D5CDD505-2E9C-101B-9397-08002B2CF9AE}" pid="7" name="_AuthorEmail">
    <vt:lpwstr>Budnik-ES@amur.drsk.ru</vt:lpwstr>
  </property>
  <property fmtid="{D5CDD505-2E9C-101B-9397-08002B2CF9AE}" pid="8" name="_AuthorEmailDisplayName">
    <vt:lpwstr>Будник Е.С.</vt:lpwstr>
  </property>
  <property fmtid="{D5CDD505-2E9C-101B-9397-08002B2CF9AE}" pid="9" name="_EmailSubject">
    <vt:lpwstr/>
  </property>
  <property fmtid="{D5CDD505-2E9C-101B-9397-08002B2CF9AE}" pid="10" name="_NewReviewCycle">
    <vt:lpwstr/>
  </property>
  <property fmtid="{D5CDD505-2E9C-101B-9397-08002B2CF9AE}" pid="11" name="_ReviewingToolsShownOnce">
    <vt:lpwstr/>
  </property>
  <property fmtid="{D5CDD505-2E9C-101B-9397-08002B2CF9AE}" pid="12" name="_MarkAsFinal">
    <vt:bool>1</vt:bool>
  </property>
</Properties>
</file>